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E2" w:rsidRPr="005822D4" w:rsidRDefault="008D4CE2" w:rsidP="008D4CE2">
      <w:pPr>
        <w:widowControl/>
        <w:snapToGrid w:val="0"/>
        <w:spacing w:line="360" w:lineRule="auto"/>
        <w:jc w:val="center"/>
        <w:textAlignment w:val="center"/>
        <w:rPr>
          <w:rFonts w:ascii="Arial" w:hAnsi="Arial" w:cs="Arial" w:hint="eastAsia"/>
          <w:b/>
          <w:bCs/>
          <w:kern w:val="0"/>
          <w:sz w:val="22"/>
          <w:szCs w:val="22"/>
        </w:rPr>
      </w:pPr>
      <w:bookmarkStart w:id="0" w:name="OLE_LINK1"/>
      <w:bookmarkStart w:id="1" w:name="OLE_LINK2"/>
      <w:r w:rsidRPr="005822D4">
        <w:rPr>
          <w:rFonts w:ascii="Arial" w:hAnsi="Arial" w:cs="Arial"/>
          <w:b/>
          <w:bCs/>
          <w:kern w:val="0"/>
          <w:sz w:val="22"/>
          <w:szCs w:val="22"/>
        </w:rPr>
        <w:t>List of the </w:t>
      </w:r>
      <w:r w:rsidRPr="005822D4">
        <w:rPr>
          <w:rFonts w:ascii="Arial" w:hAnsi="Arial" w:cs="Arial" w:hint="eastAsia"/>
          <w:b/>
          <w:bCs/>
          <w:kern w:val="0"/>
          <w:sz w:val="22"/>
          <w:szCs w:val="22"/>
        </w:rPr>
        <w:t>Recognized</w:t>
      </w:r>
      <w:r w:rsidRPr="005822D4">
        <w:rPr>
          <w:rFonts w:ascii="Arial" w:hAnsi="Arial" w:cs="Arial"/>
          <w:b/>
          <w:bCs/>
          <w:kern w:val="0"/>
          <w:sz w:val="22"/>
          <w:szCs w:val="22"/>
        </w:rPr>
        <w:t xml:space="preserve"> Institutions and Practitioners </w:t>
      </w:r>
    </w:p>
    <w:p w:rsidR="002E3390" w:rsidRPr="005822D4" w:rsidRDefault="008D4CE2" w:rsidP="008D4CE2">
      <w:pPr>
        <w:widowControl/>
        <w:snapToGrid w:val="0"/>
        <w:spacing w:line="360" w:lineRule="auto"/>
        <w:jc w:val="center"/>
        <w:textAlignment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5822D4">
        <w:rPr>
          <w:rFonts w:ascii="Arial" w:hAnsi="Arial" w:cs="Arial" w:hint="eastAsia"/>
          <w:b/>
          <w:bCs/>
          <w:kern w:val="0"/>
          <w:sz w:val="22"/>
          <w:szCs w:val="22"/>
        </w:rPr>
        <w:t xml:space="preserve">for </w:t>
      </w:r>
      <w:r w:rsidRPr="005822D4">
        <w:rPr>
          <w:rFonts w:ascii="Arial" w:hAnsi="Arial" w:cs="Arial"/>
          <w:b/>
          <w:bCs/>
          <w:kern w:val="0"/>
          <w:sz w:val="22"/>
          <w:szCs w:val="22"/>
        </w:rPr>
        <w:t xml:space="preserve">Seafarers’ Medical Examination  </w:t>
      </w:r>
    </w:p>
    <w:p w:rsidR="002E3390" w:rsidRPr="008D4CE2" w:rsidRDefault="002E3390" w:rsidP="008D4CE2">
      <w:pPr>
        <w:widowControl/>
        <w:snapToGrid w:val="0"/>
        <w:spacing w:line="360" w:lineRule="auto"/>
        <w:jc w:val="center"/>
        <w:textAlignment w:val="center"/>
        <w:rPr>
          <w:rFonts w:ascii="Arial" w:hAnsi="Arial" w:cs="Arial"/>
          <w:bCs/>
          <w:kern w:val="0"/>
          <w:sz w:val="22"/>
          <w:szCs w:val="22"/>
        </w:rPr>
      </w:pPr>
    </w:p>
    <w:p w:rsidR="002E3390" w:rsidRPr="008D4CE2" w:rsidRDefault="008D4CE2" w:rsidP="005822D4">
      <w:pPr>
        <w:widowControl/>
        <w:snapToGrid w:val="0"/>
        <w:spacing w:line="360" w:lineRule="auto"/>
        <w:textAlignment w:val="center"/>
        <w:rPr>
          <w:rFonts w:ascii="Arial" w:hAnsi="Arial" w:cs="Arial"/>
          <w:sz w:val="22"/>
          <w:szCs w:val="22"/>
        </w:rPr>
      </w:pPr>
      <w:r w:rsidRPr="008D4CE2">
        <w:rPr>
          <w:rFonts w:ascii="Arial" w:hAnsi="Arial" w:cs="Arial"/>
          <w:bCs/>
          <w:kern w:val="0"/>
          <w:sz w:val="22"/>
          <w:szCs w:val="22"/>
        </w:rPr>
        <w:t>According to related requirements of</w:t>
      </w:r>
      <w:r w:rsidRPr="008D4CE2">
        <w:rPr>
          <w:rFonts w:ascii="Arial" w:eastAsiaTheme="minorEastAsia" w:hAnsi="Arial" w:cs="Arial"/>
          <w:bCs/>
          <w:i/>
          <w:kern w:val="0"/>
          <w:sz w:val="22"/>
        </w:rPr>
        <w:t xml:space="preserve"> Measures for the Management of Issuing Medical Certificate for Seafarers of the People’s Republic of China</w:t>
      </w:r>
      <w:r w:rsidRPr="008D4CE2">
        <w:rPr>
          <w:rFonts w:ascii="Arial" w:hAnsi="Arial" w:cs="Arial"/>
          <w:bCs/>
          <w:kern w:val="0"/>
          <w:sz w:val="22"/>
          <w:szCs w:val="22"/>
        </w:rPr>
        <w:t xml:space="preserve">, based on the on-scene verification reports submitted by regional </w:t>
      </w:r>
      <w:r w:rsidR="00C14499">
        <w:rPr>
          <w:rFonts w:ascii="Arial" w:hAnsi="Arial" w:cs="Arial"/>
          <w:bCs/>
          <w:kern w:val="0"/>
          <w:sz w:val="22"/>
          <w:szCs w:val="22"/>
        </w:rPr>
        <w:t>MSA</w:t>
      </w:r>
      <w:r w:rsidRPr="008D4CE2">
        <w:rPr>
          <w:rFonts w:ascii="Arial" w:hAnsi="Arial" w:cs="Arial"/>
          <w:bCs/>
          <w:kern w:val="0"/>
          <w:sz w:val="22"/>
          <w:szCs w:val="22"/>
        </w:rPr>
        <w:t xml:space="preserve">s, the medical examination institutions listed as follows are qualified to undertake seafarers' medication examination, and the </w:t>
      </w:r>
      <w:r w:rsidR="005822D4">
        <w:rPr>
          <w:rFonts w:ascii="Arial" w:hAnsi="Arial" w:cs="Arial" w:hint="eastAsia"/>
          <w:bCs/>
          <w:kern w:val="0"/>
          <w:sz w:val="22"/>
          <w:szCs w:val="22"/>
        </w:rPr>
        <w:t xml:space="preserve">recognized </w:t>
      </w:r>
      <w:r w:rsidRPr="008D4CE2">
        <w:rPr>
          <w:rFonts w:ascii="Arial" w:hAnsi="Arial" w:cs="Arial"/>
          <w:bCs/>
          <w:kern w:val="0"/>
          <w:sz w:val="22"/>
          <w:szCs w:val="22"/>
        </w:rPr>
        <w:t xml:space="preserve">medical practitioners employed by those institutions are entitled to issue medical certificates. All the medical examination institutions and medical practitioners shall strictly observe the requirements. The regional </w:t>
      </w:r>
      <w:r w:rsidR="00C14499">
        <w:rPr>
          <w:rFonts w:ascii="Arial" w:hAnsi="Arial" w:cs="Arial"/>
          <w:bCs/>
          <w:kern w:val="0"/>
          <w:sz w:val="22"/>
          <w:szCs w:val="22"/>
        </w:rPr>
        <w:t>MSA</w:t>
      </w:r>
      <w:r w:rsidRPr="008D4CE2">
        <w:rPr>
          <w:rFonts w:ascii="Arial" w:hAnsi="Arial" w:cs="Arial"/>
          <w:bCs/>
          <w:kern w:val="0"/>
          <w:sz w:val="22"/>
          <w:szCs w:val="22"/>
        </w:rPr>
        <w:t xml:space="preserve">s shall carry out routine </w:t>
      </w:r>
      <w:r w:rsidRPr="008D4CE2">
        <w:rPr>
          <w:rFonts w:ascii="Arial" w:hAnsi="Arial" w:cs="Arial" w:hint="eastAsia"/>
          <w:bCs/>
          <w:kern w:val="0"/>
          <w:sz w:val="22"/>
          <w:szCs w:val="22"/>
        </w:rPr>
        <w:t xml:space="preserve">oversight </w:t>
      </w:r>
      <w:r w:rsidRPr="008D4CE2">
        <w:rPr>
          <w:rFonts w:ascii="Arial" w:hAnsi="Arial" w:cs="Arial"/>
          <w:bCs/>
          <w:kern w:val="0"/>
          <w:sz w:val="22"/>
          <w:szCs w:val="22"/>
        </w:rPr>
        <w:t xml:space="preserve">and supervision. </w:t>
      </w:r>
    </w:p>
    <w:p w:rsidR="002E3390" w:rsidRPr="008D4CE2" w:rsidRDefault="002E3390" w:rsidP="008D4CE2">
      <w:pPr>
        <w:snapToGrid w:val="0"/>
        <w:spacing w:line="360" w:lineRule="auto"/>
        <w:ind w:firstLine="570"/>
        <w:rPr>
          <w:rFonts w:ascii="Arial" w:hAnsi="Arial" w:cs="Arial"/>
          <w:color w:val="000000"/>
          <w:sz w:val="22"/>
          <w:szCs w:val="22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088"/>
        <w:gridCol w:w="1984"/>
        <w:gridCol w:w="1276"/>
        <w:gridCol w:w="1417"/>
        <w:gridCol w:w="1045"/>
      </w:tblGrid>
      <w:tr w:rsidR="002E3390" w:rsidRPr="008D4CE2" w:rsidTr="005A62CF">
        <w:tc>
          <w:tcPr>
            <w:tcW w:w="714" w:type="dxa"/>
            <w:vAlign w:val="center"/>
          </w:tcPr>
          <w:p w:rsidR="002E3390" w:rsidRPr="005A62CF" w:rsidRDefault="002D0E2D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088" w:type="dxa"/>
            <w:vAlign w:val="center"/>
          </w:tcPr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Name of Medical examination institutions</w:t>
            </w:r>
          </w:p>
        </w:tc>
        <w:tc>
          <w:tcPr>
            <w:tcW w:w="1984" w:type="dxa"/>
            <w:vAlign w:val="center"/>
          </w:tcPr>
          <w:p w:rsidR="005A62CF" w:rsidRDefault="005A62CF" w:rsidP="005A62CF">
            <w:pPr>
              <w:snapToGrid w:val="0"/>
              <w:spacing w:line="360" w:lineRule="auto"/>
              <w:rPr>
                <w:rFonts w:ascii="Arial" w:hAnsi="Arial" w:cs="Arial" w:hint="eastAsia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Recognized</w:t>
            </w:r>
          </w:p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Medical </w:t>
            </w:r>
          </w:p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Practitioners</w:t>
            </w:r>
          </w:p>
        </w:tc>
        <w:tc>
          <w:tcPr>
            <w:tcW w:w="1276" w:type="dxa"/>
            <w:vAlign w:val="center"/>
          </w:tcPr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Verified by</w:t>
            </w:r>
          </w:p>
        </w:tc>
        <w:tc>
          <w:tcPr>
            <w:tcW w:w="1417" w:type="dxa"/>
            <w:vAlign w:val="center"/>
          </w:tcPr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A62CF">
              <w:rPr>
                <w:rFonts w:ascii="Arial" w:hAnsi="Arial" w:cs="Arial"/>
                <w:b/>
                <w:sz w:val="22"/>
                <w:szCs w:val="22"/>
              </w:rPr>
              <w:t>Effective from</w:t>
            </w:r>
          </w:p>
        </w:tc>
        <w:tc>
          <w:tcPr>
            <w:tcW w:w="1045" w:type="dxa"/>
            <w:vAlign w:val="center"/>
          </w:tcPr>
          <w:p w:rsidR="002E3390" w:rsidRPr="005A62CF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A62CF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Heilongjiang Provincial General Hospital of seafarers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Zhai Xiufang, Xiu Shuyan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Heilongjiang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2012.7.25 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8" w:type="dxa"/>
            <w:vAlign w:val="center"/>
          </w:tcPr>
          <w:p w:rsidR="002E3390" w:rsidRPr="008D4CE2" w:rsidRDefault="00133229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Futian District 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P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eople's Hospital of Shenzhen City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Xu Woxian, Liu Cankun, Zhaojing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Shenzhen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2012.8.6 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88" w:type="dxa"/>
            <w:vAlign w:val="center"/>
          </w:tcPr>
          <w:p w:rsidR="002E3390" w:rsidRPr="008D4CE2" w:rsidRDefault="00133229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Nanshan District 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P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eople's Hospital of Shenzhen City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Xu Kuncheng, Xia Zhengtai, Yang Xiaolin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Shenzhen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2012.8.6 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88" w:type="dxa"/>
            <w:vAlign w:val="center"/>
          </w:tcPr>
          <w:p w:rsidR="002E3390" w:rsidRPr="00133229" w:rsidRDefault="008D4CE2" w:rsidP="005A62CF">
            <w:pPr>
              <w:widowControl/>
              <w:snapToGrid w:val="0"/>
              <w:spacing w:line="360" w:lineRule="auto"/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Shekou </w:t>
            </w:r>
            <w:r w:rsidR="00133229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P</w:t>
            </w: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eople's Hospital of</w:t>
            </w:r>
            <w:r w:rsidR="00133229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Nanshan District</w:t>
            </w:r>
            <w:r w:rsidR="00133229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="00133229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in </w:t>
            </w:r>
            <w:r w:rsidR="00133229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Shenzhen</w:t>
            </w:r>
            <w:r w:rsidR="00133229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 City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Liang Shihuan, Qian Fangfang, Wang Xiaoyi, Liu Lijian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Shenzhen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2012.8.6 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Wuhan Seventh Hosp</w:t>
            </w:r>
            <w:r w:rsidR="00133229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8D4CE2">
              <w:rPr>
                <w:rFonts w:ascii="Arial" w:hAnsi="Arial" w:cs="Arial"/>
                <w:sz w:val="22"/>
                <w:szCs w:val="22"/>
              </w:rPr>
              <w:t>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Shaoqing, Sun Jie, Tang Yanfeng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88" w:type="dxa"/>
            <w:vAlign w:val="center"/>
          </w:tcPr>
          <w:p w:rsidR="002E3390" w:rsidRPr="008D4CE2" w:rsidRDefault="00133229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Shipping</w:t>
            </w:r>
            <w:r w:rsidR="008D4CE2" w:rsidRPr="008D4CE2">
              <w:rPr>
                <w:rFonts w:ascii="Arial" w:hAnsi="Arial" w:cs="Arial"/>
                <w:sz w:val="22"/>
                <w:szCs w:val="22"/>
              </w:rPr>
              <w:t xml:space="preserve"> General </w:t>
            </w:r>
            <w:r w:rsidR="008D4CE2"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Hospital of Yangtse River 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Guo Aili, Guo 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Youhua, Chen Guoxue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Changjian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2012.10.8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Tianjin International Travel Health Care Center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Guo Jijiang, Ma Yongli, Guo Xiuhua, Qi 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Ocean Petroleum General 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Han Xiaoguang, Sun Fenghai, Wang Tongyu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9*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COSCO bulk carrier Co. Ltd. Outpatient Department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Shang Changrong, Zhang Bing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Beijing He Ping Li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Zhiyuan, Liu Qing, Liu Lian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Xinxiang First People's Hospital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Guo Weijia, Xu Jilie, Gao Hong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Nanyang</w:t>
            </w:r>
            <w:r w:rsidR="0013322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City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Central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Hou Xinguo, Liu Jiansheng, Wang Jiangang, Zhang Baochao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Yanan </w:t>
            </w:r>
            <w:r w:rsidR="00133229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City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Qiang, Sun Shuzhi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2012.10.25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The Second Affiliated Hospital of Zhejiang Chinese Medicine University (Zhejiang</w:t>
            </w:r>
            <w:r w:rsidR="00133229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Province Xinhua Hospital)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Miu Ximin, Lu Xu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2012.12.24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Ningbo First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Jing, Sheng Yuehua, Song Manying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2012.12.24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Ningbo 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No.</w:t>
            </w:r>
            <w:r w:rsidR="00133229"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Shen Xinwei, Li 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Dibing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lastRenderedPageBreak/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2012.12.24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88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Zhoushan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Yiqun, Chen Zhiping, Yu Min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2012.12.24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Taizhou City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Xie Yujiao, Li Zhimin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2012.12.24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Dalian </w:t>
            </w:r>
            <w:r w:rsidR="00133229">
              <w:rPr>
                <w:rFonts w:ascii="Arial" w:hAnsi="Arial" w:cs="Arial" w:hint="eastAsia"/>
                <w:color w:val="000000"/>
                <w:sz w:val="22"/>
                <w:szCs w:val="22"/>
              </w:rPr>
              <w:t>Harbor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Zheng Huichun, Jia Yanhua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Guangxi international travel health care center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Huo Jiaxin, Liu Tianchang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Guangxi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2013.1.15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Guangxi Workers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Qiu Yi, Liang Mei, Tan Haicheng, Li Jianlv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Guangxi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2013.1.15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Guangzhou Xinhai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Huang Ruixia, An Jianzheng, Huang Wenshuo, Zhang Zhenyu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the Fifth Affiliated Hospital of Guangzhou Medical University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Peng Shisheng, Zhong Weibing, Wang Maowu, Deng Tianming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24*</w:t>
            </w:r>
          </w:p>
        </w:tc>
        <w:tc>
          <w:tcPr>
            <w:tcW w:w="2088" w:type="dxa"/>
            <w:vAlign w:val="center"/>
          </w:tcPr>
          <w:p w:rsidR="002E3390" w:rsidRPr="008D4CE2" w:rsidRDefault="00133229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COSCO 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Guangzhou 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General O</w:t>
            </w:r>
            <w:r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utpatient 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epartment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Chen Xinming, Zhang Yuling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Zhanjiang Second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Xin Zhu, Chen 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Xuwen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Daye, Tang Guowen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Wuhan Fifth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Jingjie, Liu Yang, Xiang Jinzhou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2013.2.8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Anhui Province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Second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Zhou Chun, Wu 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Huaiguo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Changjian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 xml:space="preserve">2013.2.8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Shanghai Seamen’s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Xia Yizhong, Song Xuwen, Wu Ming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Shanghai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2013.3.6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Zhongshan Hospital Affiliated to Xiamen University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weng Feng, Xie Zengrong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Xiangcheng Chinese Medicine Hospital of Zhangzhou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Zhen, Chen Tianqing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Qingdao Fuwai Cardiovascular Disease Hospital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Feng Chunyu, Wang Xueling, Fu 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Weihai Municipal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yang Yachao, Cang Hongying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34*</w:t>
            </w:r>
          </w:p>
        </w:tc>
        <w:tc>
          <w:tcPr>
            <w:tcW w:w="2088" w:type="dxa"/>
            <w:vAlign w:val="center"/>
          </w:tcPr>
          <w:p w:rsidR="002E3390" w:rsidRPr="008D4CE2" w:rsidRDefault="00C14499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COSCO 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Qingdao 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ut-patient </w:t>
            </w:r>
            <w:r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D4CE2"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epartment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Yuhua, Qian Yusheng, Wang Baocai, Zhou Qinjun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Yantai Harbor Hospital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 Baoqing, Li Chuanbo, Guan Yanfeng, Liu Yongchang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2013.3.25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The People's Liberation Army </w:t>
            </w:r>
            <w:r w:rsidR="002D0E2D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No.</w:t>
            </w: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89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Shi Guojun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2014.11.13 </w:t>
            </w:r>
          </w:p>
        </w:tc>
        <w:tc>
          <w:tcPr>
            <w:tcW w:w="1045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Qualification of Xiang Qingyu, Wang Deyu and Tao Zhiyu </w:t>
            </w: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was terminated on Nov.12, 2014</w:t>
            </w: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Hainan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Youyun, Pan Linqi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Hainan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Fujian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Zheng Shangyi, Kang Suping, Li Jinyu, Liu Jinhua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Daishan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o.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1 People’s Hospital of Zhejiang Province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Junxiang, Wang Jianjun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2013.4.16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Wenzhou City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Youlin, Lin Tianfeng, Shi Xiaocong, Ding Ran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2013.4.16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Second Affiliated Hospital of Nanjing Medical University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Dai Xuejun, Cai Gongqiu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Nanjing Branch of Changzheng Hospital of Chinese people's Liberation Army Second Military Medical University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Tao Yueyu, Sun Xiuming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Nanjing Red Cross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Pei Suli, Zhang Shufen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Maigaoqiao Hospital of Qixia,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Nanjing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Liu Yi, Pang Shiyi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45</w:t>
            </w:r>
          </w:p>
        </w:tc>
        <w:tc>
          <w:tcPr>
            <w:tcW w:w="2088" w:type="dxa"/>
            <w:vAlign w:val="center"/>
          </w:tcPr>
          <w:p w:rsidR="005A62CF" w:rsidRDefault="008D4CE2" w:rsidP="005A62CF">
            <w:pPr>
              <w:widowControl/>
              <w:snapToGrid w:val="0"/>
              <w:spacing w:line="360" w:lineRule="auto"/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 xml:space="preserve">Jiangsu Provincial </w:t>
            </w:r>
            <w:r w:rsidR="005A62CF">
              <w:rPr>
                <w:rFonts w:ascii="Arial" w:eastAsiaTheme="minorEastAsia" w:hAnsi="Arial" w:cs="Arial" w:hint="eastAsia"/>
                <w:color w:val="333333"/>
                <w:kern w:val="0"/>
                <w:sz w:val="22"/>
                <w:szCs w:val="22"/>
                <w:shd w:val="clear" w:color="auto" w:fill="FFFFFF"/>
              </w:rPr>
              <w:t>Government</w:t>
            </w:r>
          </w:p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Hospital</w:t>
            </w:r>
          </w:p>
        </w:tc>
        <w:tc>
          <w:tcPr>
            <w:tcW w:w="1984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Jianan, Tang Jiankun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Nantong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5 People’s Hospital, Jiangsu Province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Zhou Hengfa, Qu Weixing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Lianyungang 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Dongfang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Ji Shulan, Lai Zhejun, Chen Shaohua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Yancheng Chinese Medicine Hospital, Jiangsu Province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Jiang Zhaoyu, Zhang Tieliu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Yangzhou Jiangdu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 Lin, Chang Yumei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Chinese People's Armed Police Force General Hospital of Jiangsu Province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Bogui, Wang Dalu, Zhang Rongde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2013.4.17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Shanghai Hangdao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Chai Chunlin, Liang Ouoyan, Li Xiaoqing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Shanghai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Shanghai Yuanyang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Yu Ningkang, Dong Bing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Shanghai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Shanghai Changhang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Shao Duo, Chi Sujuan, Liu Hong, Zhou Weizhang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Shanghai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Quanzhou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Mao Jinrong, Lin Rongmin, Wang Yishan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Quanzhou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Shizhu, Lin Jinyu, Wang Peijing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Xiamen International Travel Heal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th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Mengzhang, Liao Wenjie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the PLA 92403 Army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Jiang Xinhua, Pang Xiwang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2013. 5.10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Tianjin Port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Dong Shuhuai, Wang Binhua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2013. 6.4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Xinxiang 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City Central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Fu Ming, Li Hongxia, Liu Huirong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2013.6.4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Tangshan City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Hao Like, Song Qiaofeng, Zhang Fenglin, Kan Cunling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2013.6.18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Qinhuangdao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Han Zhiru, Wang Haijun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2013.6.18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Nantong Branch of Jiangsu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Xikun, Xie Junhua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Rizhao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Wanle, Cao Guangjin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Rizhao Port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Jiang Dahai, Li Jiangxi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MCH Hospital of Weihai City (Weihai 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2 Hospital)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Zhou Xiuyi, Wang Shumei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Weihai Wendeng Central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Wengui, Yu Quanjun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67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Rongcheng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2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Honglan, Zhang Qiang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rPr>
          <w:trHeight w:val="1427"/>
        </w:trPr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Tai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an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5A62CF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4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Yonggang, Xu Lin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Bincheng District People’s Hospital, Binzhou City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Qi Chunsheng, Li 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Jinzhou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Wu Weiguang, Yang Jing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Huludao Central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Gao Zhi, Cao 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Shenzhen International Travel Health Care Center (Shenzhen Port Hospital)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Chunfang, Xu Yuan, Li Wei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Shenzhen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 xml:space="preserve">su International Travel Health 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C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Yazhen, Gu Xuejun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 – Suzhou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Qin Du’an, Huang Tingxue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Tongji Hospital of Yingkou Economic and Technological Development Zone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Niu Fengjun, Zhang Jiwen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2013.7.15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Huanghua City People's Hospital</w:t>
            </w:r>
          </w:p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Xibing, Kang Guoqiang, Zhang Junkai, Gao Fulan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2013.7.17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widowControl/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The First Affiliated Hospital of Medical University Of Anhui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Jian, Zheng Linlin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2013.7.23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Changsha City Third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Dingyi, Zhou Xinyu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2013.7.23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Henan Provincial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Government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Second Outpatient Department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Han Jie, Wu Yantang, Wang Kangjun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2013.7.25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PLA 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454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Shi Haiming, Qiao Leshi, Qiu Weiwei, Zheng Zhen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2013.8.12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Jiangsu Workers Rehabilitation Hospital 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洪美林、李学文</w:t>
            </w: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Hong Meilin, Li Xuewen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2013.8.13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Guangdong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Min, Wang Bing, Luo Xiaoguang, Huang Yongxin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2013.9.2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Zhanjiang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Han Huarong, Chen Weihong, Lai Weihua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2013.9.2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Huiyang City Sanhe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Ren Jian, Zhang Haiqing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2013.9.2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PLA 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113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Mengyan, Chen Sui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Dinghai Guanghua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Yang Haixia, Li Zhanzhen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Putuo District People’s Hospital of Zhoushan City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Lu Yihua, Xia Liangping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 w:rsidR="002E3390" w:rsidRPr="002D0E2D" w:rsidRDefault="008D4CE2" w:rsidP="005A62CF">
            <w:pPr>
              <w:widowControl/>
              <w:snapToGrid w:val="0"/>
              <w:spacing w:line="360" w:lineRule="auto"/>
              <w:rPr>
                <w:rFonts w:ascii="Arial" w:eastAsiaTheme="minorEastAsia" w:hAnsi="Arial" w:cs="Arial" w:hint="eastAsia"/>
                <w:kern w:val="0"/>
                <w:sz w:val="22"/>
                <w:szCs w:val="22"/>
              </w:rPr>
            </w:pPr>
            <w:r w:rsidRPr="008D4CE2">
              <w:rPr>
                <w:rFonts w:ascii="Arial" w:eastAsia="Times New Roman" w:hAnsi="Arial" w:cs="Arial"/>
                <w:color w:val="333333"/>
                <w:kern w:val="0"/>
                <w:sz w:val="22"/>
                <w:szCs w:val="22"/>
                <w:shd w:val="clear" w:color="auto" w:fill="FFFFFF"/>
              </w:rPr>
              <w:t>Shengsi County People's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Lin Min, Liu Yongjun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89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Ningbo City Rehabilitation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Tang Min, Ke Yuanfang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Taizhou City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Chen Guoyan, Dai Rensen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Ningbo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Ni Minjun, Sun Saihe, Chen Xizheng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2013.9.23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Jinagsu International Travel Health Care Center – Zhenjiang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Feng Jinxiang, Li Hongxin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2013.10.14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 – Taizhou Branch</w:t>
            </w:r>
          </w:p>
        </w:tc>
        <w:tc>
          <w:tcPr>
            <w:tcW w:w="1984" w:type="dxa"/>
            <w:vAlign w:val="center"/>
          </w:tcPr>
          <w:p w:rsidR="002E3390" w:rsidRPr="008D4CE2" w:rsidRDefault="002D0E2D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Xie</w:t>
            </w:r>
            <w:r w:rsidR="008D4CE2" w:rsidRPr="008D4CE2">
              <w:rPr>
                <w:rFonts w:ascii="Arial" w:hAnsi="Arial" w:cs="Arial"/>
                <w:sz w:val="22"/>
                <w:szCs w:val="22"/>
              </w:rPr>
              <w:t xml:space="preserve"> Biao, Liu Jianguo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2013.10.14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94*</w:t>
            </w:r>
          </w:p>
        </w:tc>
        <w:tc>
          <w:tcPr>
            <w:tcW w:w="2088" w:type="dxa"/>
            <w:vAlign w:val="center"/>
          </w:tcPr>
          <w:p w:rsidR="002E3390" w:rsidRPr="008D4CE2" w:rsidRDefault="002D0E2D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COSCO </w:t>
            </w:r>
            <w:r w:rsidR="008D4CE2" w:rsidRPr="008D4CE2">
              <w:rPr>
                <w:rFonts w:ascii="Arial" w:hAnsi="Arial" w:cs="Arial"/>
                <w:color w:val="000000"/>
                <w:sz w:val="22"/>
                <w:szCs w:val="22"/>
              </w:rPr>
              <w:t>Dalian Ocean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ransport Specialist Outpatient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Deparment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Yang Yecai, Song Xueliang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2013.10.30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the Affiliated Hospital of Hainan Medical University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Luan Chun, Tan Shaoping, Li Shuping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Hainan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2013.11.4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Shandong Transportation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Peiqiang, Wu Zhejun, Huang Kangmei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2013.11.18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Rizhao City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Zhijuan, Zhou Xuting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2013.11.18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Shandong International Travel Health Care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Zhang Youjun, Song Ge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2013.11.18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99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Cangxian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Ma Xiuying, Zhao Weizhi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2013.11.18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Shanghai Sixth People’s Hospital – East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Gui Dingkun, Li Lijuan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Shanghai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2013.12.16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Hebei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Wu Zhiru, Wang Lin, Yang Jun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2013.12.27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 – Wuxi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 Weidong, Li Xiaoxi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2013.12.27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Zhuhai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Du Jian, Lin Jican, Jiang Xiaoyan, Liang Hongbing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Shantou City Haojiang District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Wu Zefeng, Li Danhua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2E3390" w:rsidRPr="008D4CE2" w:rsidRDefault="002D0E2D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CNOOC </w:t>
            </w:r>
            <w:r w:rsidR="008D4CE2" w:rsidRPr="008D4CE2">
              <w:rPr>
                <w:rFonts w:ascii="Arial" w:hAnsi="Arial" w:cs="Arial"/>
                <w:color w:val="000000"/>
                <w:sz w:val="22"/>
                <w:szCs w:val="22"/>
              </w:rPr>
              <w:t>Nanhai West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He Hongjuan, Li Guangyu, Gao Qiang, Liu Yuanpeng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Wuchuan Chinese Medicine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Yang Zhou, Zhong Wanming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2014.1.10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Tianjin Huabei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Qiang,Wang Xiaolin, Huang Jinjing, Zhang Peisheng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Tianjin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2014.1.27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Fujian International Travel Health Care Center – Putian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Branch</w:t>
            </w:r>
          </w:p>
        </w:tc>
        <w:tc>
          <w:tcPr>
            <w:tcW w:w="1984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Kang Suping, Shi Lanhua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Fujian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2014.2.14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109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Zhang Ruqi, Wei Jingang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2014.4.14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Guangxi International Travel Health Care Center – Beihai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Chen Li, Pang Weiqun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Guangxi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2014.5.7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Dongying City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Yuanzhou, Xue Guanying, Li Meizhen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2014.5.8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Shouguang City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Yuan Ruisan, Pan Jianguo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2014.5.8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Haikou Ciming Health Check Clinics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Ji Renqian, Li Zhenglun, Wu Decheng, Chen En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Hainan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2014.5.16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PLA 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230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Dongwei, Han Jiafeng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Liaoning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2014.5.19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Zhanjiang City Fourth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Liu Tirong, Chen Zhihe, Liu Qiang, Huang Zijiu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Guangdong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2014.6.4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 – Zhangjiagang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Longjuan, Zhu Liying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2014.6.25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Chongqing City Fifth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Yu Lan, Peng Wenzao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2014.8.5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Wenjiang District People’s Hospital 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of Chengdu City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Yao Qiusheng, Sun Yibin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2014.8.5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Hebei International Travel Health Care Center – Tangshan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Kang Zhiqing, Liu Shuqin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Hebei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2014.8.7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Jiangsu Provincial </w:t>
            </w:r>
            <w:r w:rsidR="005A62CF">
              <w:rPr>
                <w:rFonts w:ascii="Arial" w:hAnsi="Arial" w:cs="Arial"/>
                <w:color w:val="000000"/>
                <w:sz w:val="22"/>
                <w:szCs w:val="22"/>
              </w:rPr>
              <w:t>Government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Wang Jianan, Tng Jiankun, Ying Danping, Shen Zhixiang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2014.8.18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Changdao County People’s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Hu Shujun, Liang Liyi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Shandong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2014.8.21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Wenzhou City Donghua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Li Guozhen, Sun Shuqiu, Zhao Guolu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Zhejiang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2014.9.18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PLA 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2D0E2D">
              <w:rPr>
                <w:rFonts w:ascii="Arial" w:hAnsi="Arial" w:cs="Arial" w:hint="eastAsia"/>
                <w:color w:val="000000"/>
                <w:sz w:val="22"/>
                <w:szCs w:val="22"/>
              </w:rPr>
              <w:t>o</w:t>
            </w:r>
            <w:r w:rsidR="002D0E2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171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Wenfeng, Huang Ligui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2014.9.18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Nanchang City First Hospital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Zhu Haohua, Ye Xiubin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Changjiang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2014.11.13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>Jiangsu International Travel Health Care Center – Jiangyin Branch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Zhao Jinnan, Li Yunmao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2014.12.11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390" w:rsidRPr="008D4CE2" w:rsidTr="005A62CF">
        <w:tc>
          <w:tcPr>
            <w:tcW w:w="71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2088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CE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PLA 63680 Army </w:t>
            </w:r>
            <w:r w:rsidR="00C14499">
              <w:rPr>
                <w:rFonts w:ascii="Arial" w:hAnsi="Arial" w:cs="Arial" w:hint="eastAsia"/>
                <w:color w:val="000000"/>
                <w:sz w:val="22"/>
                <w:szCs w:val="22"/>
              </w:rPr>
              <w:t>S</w:t>
            </w:r>
            <w:r w:rsidR="00C14499" w:rsidRPr="00C14499">
              <w:rPr>
                <w:rFonts w:ascii="Arial" w:hAnsi="Arial" w:cs="Arial"/>
                <w:color w:val="000000"/>
                <w:sz w:val="22"/>
                <w:szCs w:val="22"/>
              </w:rPr>
              <w:t>anatorium</w:t>
            </w:r>
          </w:p>
        </w:tc>
        <w:tc>
          <w:tcPr>
            <w:tcW w:w="1984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>He Ye, Shen Ailing</w:t>
            </w:r>
          </w:p>
        </w:tc>
        <w:tc>
          <w:tcPr>
            <w:tcW w:w="1276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Jiangsu </w:t>
            </w:r>
            <w:r w:rsidR="00C14499">
              <w:rPr>
                <w:rFonts w:ascii="Arial" w:hAnsi="Arial" w:cs="Arial"/>
                <w:sz w:val="22"/>
                <w:szCs w:val="22"/>
              </w:rPr>
              <w:t>MSA</w:t>
            </w:r>
          </w:p>
        </w:tc>
        <w:tc>
          <w:tcPr>
            <w:tcW w:w="1417" w:type="dxa"/>
            <w:vAlign w:val="center"/>
          </w:tcPr>
          <w:p w:rsidR="002E3390" w:rsidRPr="008D4CE2" w:rsidRDefault="008D4CE2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4CE2">
              <w:rPr>
                <w:rFonts w:ascii="Arial" w:hAnsi="Arial" w:cs="Arial"/>
                <w:sz w:val="22"/>
                <w:szCs w:val="22"/>
              </w:rPr>
              <w:t xml:space="preserve">2014.12.11 </w:t>
            </w:r>
          </w:p>
        </w:tc>
        <w:tc>
          <w:tcPr>
            <w:tcW w:w="1045" w:type="dxa"/>
            <w:vAlign w:val="center"/>
          </w:tcPr>
          <w:p w:rsidR="002E3390" w:rsidRPr="008D4CE2" w:rsidRDefault="002E3390" w:rsidP="005A62C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3390" w:rsidRPr="008D4CE2" w:rsidRDefault="002E3390" w:rsidP="008D4CE2">
      <w:pPr>
        <w:snapToGrid w:val="0"/>
        <w:spacing w:line="360" w:lineRule="auto"/>
        <w:ind w:firstLineChars="100" w:firstLine="220"/>
        <w:rPr>
          <w:rFonts w:ascii="Arial" w:hAnsi="Arial" w:cs="Arial"/>
          <w:sz w:val="22"/>
          <w:szCs w:val="22"/>
        </w:rPr>
      </w:pPr>
    </w:p>
    <w:p w:rsidR="002E3390" w:rsidRPr="008D4CE2" w:rsidRDefault="008D4CE2" w:rsidP="008D4CE2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 w:rsidRPr="008D4CE2">
        <w:rPr>
          <w:rFonts w:ascii="Arial" w:hAnsi="Arial" w:cs="Arial"/>
          <w:sz w:val="22"/>
          <w:szCs w:val="22"/>
        </w:rPr>
        <w:t>NOTES: those institutions and medical practitioner marked with * are only allowed to carry out physical examinations on seafarers of their own units.</w:t>
      </w:r>
      <w:bookmarkStart w:id="2" w:name="_GoBack"/>
      <w:bookmarkEnd w:id="0"/>
      <w:bookmarkEnd w:id="1"/>
      <w:bookmarkEnd w:id="2"/>
    </w:p>
    <w:sectPr w:rsidR="002E3390" w:rsidRPr="008D4CE2" w:rsidSect="002E33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52" w:rsidRDefault="00970152" w:rsidP="008D4CE2">
      <w:r>
        <w:separator/>
      </w:r>
    </w:p>
  </w:endnote>
  <w:endnote w:type="continuationSeparator" w:id="1">
    <w:p w:rsidR="00970152" w:rsidRDefault="00970152" w:rsidP="008D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52" w:rsidRDefault="00970152" w:rsidP="008D4CE2">
      <w:r>
        <w:separator/>
      </w:r>
    </w:p>
  </w:footnote>
  <w:footnote w:type="continuationSeparator" w:id="1">
    <w:p w:rsidR="00970152" w:rsidRDefault="00970152" w:rsidP="008D4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018F"/>
    <w:rsid w:val="00133229"/>
    <w:rsid w:val="00153830"/>
    <w:rsid w:val="00172A27"/>
    <w:rsid w:val="001C29E9"/>
    <w:rsid w:val="002A02D6"/>
    <w:rsid w:val="002D0E2D"/>
    <w:rsid w:val="002E3390"/>
    <w:rsid w:val="003C578C"/>
    <w:rsid w:val="00420E7C"/>
    <w:rsid w:val="00547E00"/>
    <w:rsid w:val="005822D4"/>
    <w:rsid w:val="005A62CF"/>
    <w:rsid w:val="00621628"/>
    <w:rsid w:val="006648EB"/>
    <w:rsid w:val="00726A47"/>
    <w:rsid w:val="00752B78"/>
    <w:rsid w:val="008D4CE2"/>
    <w:rsid w:val="00910DEA"/>
    <w:rsid w:val="00970152"/>
    <w:rsid w:val="00992BC3"/>
    <w:rsid w:val="00BE6863"/>
    <w:rsid w:val="00C14499"/>
    <w:rsid w:val="00C208C2"/>
    <w:rsid w:val="00CC698A"/>
    <w:rsid w:val="00D03707"/>
    <w:rsid w:val="00D257CA"/>
    <w:rsid w:val="00D37693"/>
    <w:rsid w:val="00D6625F"/>
    <w:rsid w:val="02397B81"/>
    <w:rsid w:val="03AE3097"/>
    <w:rsid w:val="057753BB"/>
    <w:rsid w:val="08226DE9"/>
    <w:rsid w:val="09391870"/>
    <w:rsid w:val="09F54765"/>
    <w:rsid w:val="0DD04A36"/>
    <w:rsid w:val="11B83122"/>
    <w:rsid w:val="14811F5B"/>
    <w:rsid w:val="15ED7C1A"/>
    <w:rsid w:val="16F455B8"/>
    <w:rsid w:val="1A473F4B"/>
    <w:rsid w:val="1A8C3B1A"/>
    <w:rsid w:val="1AA04930"/>
    <w:rsid w:val="1F585CFC"/>
    <w:rsid w:val="20E45483"/>
    <w:rsid w:val="24271D5D"/>
    <w:rsid w:val="25BF0824"/>
    <w:rsid w:val="26E27682"/>
    <w:rsid w:val="28963428"/>
    <w:rsid w:val="29F959EB"/>
    <w:rsid w:val="2AB2165C"/>
    <w:rsid w:val="2B464915"/>
    <w:rsid w:val="2E8822E7"/>
    <w:rsid w:val="30E26C43"/>
    <w:rsid w:val="32994C8F"/>
    <w:rsid w:val="32A464FC"/>
    <w:rsid w:val="33F2372F"/>
    <w:rsid w:val="3B1A4D04"/>
    <w:rsid w:val="3BD763BC"/>
    <w:rsid w:val="3C2F484C"/>
    <w:rsid w:val="3EDF4135"/>
    <w:rsid w:val="433F5964"/>
    <w:rsid w:val="44A725D7"/>
    <w:rsid w:val="453B44A5"/>
    <w:rsid w:val="459A44BE"/>
    <w:rsid w:val="480858BC"/>
    <w:rsid w:val="49AE449B"/>
    <w:rsid w:val="49B06B72"/>
    <w:rsid w:val="49DC0CBB"/>
    <w:rsid w:val="4B380F77"/>
    <w:rsid w:val="4E0E741B"/>
    <w:rsid w:val="4F2F253B"/>
    <w:rsid w:val="503E4824"/>
    <w:rsid w:val="50784012"/>
    <w:rsid w:val="50CD1257"/>
    <w:rsid w:val="55043940"/>
    <w:rsid w:val="569D4227"/>
    <w:rsid w:val="5C8F0B89"/>
    <w:rsid w:val="5E1504DA"/>
    <w:rsid w:val="5F8E5854"/>
    <w:rsid w:val="624721CA"/>
    <w:rsid w:val="645038A3"/>
    <w:rsid w:val="64F565B0"/>
    <w:rsid w:val="65336094"/>
    <w:rsid w:val="655F01DD"/>
    <w:rsid w:val="68916D9B"/>
    <w:rsid w:val="6BF36128"/>
    <w:rsid w:val="6EAD1BA4"/>
    <w:rsid w:val="71224B2C"/>
    <w:rsid w:val="74D16536"/>
    <w:rsid w:val="764D19B8"/>
    <w:rsid w:val="77771C8D"/>
    <w:rsid w:val="7BCC5788"/>
    <w:rsid w:val="7CA3770C"/>
    <w:rsid w:val="7CC80845"/>
    <w:rsid w:val="7E374D98"/>
    <w:rsid w:val="7F4D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3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3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339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33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2060</Words>
  <Characters>11743</Characters>
  <Application>Microsoft Office Word</Application>
  <DocSecurity>0</DocSecurity>
  <Lines>97</Lines>
  <Paragraphs>27</Paragraphs>
  <ScaleCrop>false</ScaleCrop>
  <Company>Microsoft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具备开展海船船员过渡期适任培训资质的单位名单</dc:title>
  <dc:creator>*</dc:creator>
  <cp:lastModifiedBy>user</cp:lastModifiedBy>
  <cp:revision>2</cp:revision>
  <cp:lastPrinted>2013-07-25T01:28:00Z</cp:lastPrinted>
  <dcterms:created xsi:type="dcterms:W3CDTF">2014-12-26T02:33:00Z</dcterms:created>
  <dcterms:modified xsi:type="dcterms:W3CDTF">2014-12-26T02:33:00Z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